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94F89" w14:textId="69F4113A" w:rsidR="003F17BC" w:rsidRPr="003F17BC" w:rsidRDefault="003F17BC" w:rsidP="003F17BC">
      <w:pPr>
        <w:pStyle w:val="Title"/>
        <w:pBdr>
          <w:bottom w:val="none" w:sz="0" w:space="0" w:color="auto"/>
        </w:pBdr>
        <w:jc w:val="center"/>
        <w:rPr>
          <w:rFonts w:ascii="Calibri Light" w:hAnsi="Calibri Light"/>
          <w:b/>
          <w:color w:val="038457"/>
        </w:rPr>
      </w:pPr>
      <w:bookmarkStart w:id="0" w:name="_Toc474177040"/>
      <w:r w:rsidRPr="003F17BC">
        <w:rPr>
          <w:rFonts w:ascii="Calibri Light" w:hAnsi="Calibri Light"/>
          <w:b/>
          <w:color w:val="038457"/>
        </w:rPr>
        <w:t>BA Case Studies</w:t>
      </w:r>
    </w:p>
    <w:p w14:paraId="17A47268" w14:textId="3D4571E8" w:rsidR="003F17BC" w:rsidRPr="003F17BC" w:rsidRDefault="0053093A" w:rsidP="003F17BC">
      <w:pPr>
        <w:pStyle w:val="Heading1"/>
        <w:pBdr>
          <w:top w:val="none" w:sz="0" w:space="0" w:color="auto"/>
          <w:left w:val="none" w:sz="0" w:space="0" w:color="auto"/>
          <w:bottom w:val="none" w:sz="0" w:space="0" w:color="auto"/>
          <w:right w:val="none" w:sz="0" w:space="0" w:color="auto"/>
        </w:pBdr>
        <w:shd w:val="clear" w:color="auto" w:fill="038457"/>
      </w:pPr>
      <w:r>
        <w:t>James Cook University</w:t>
      </w:r>
      <w:bookmarkEnd w:id="0"/>
    </w:p>
    <w:p w14:paraId="7AE93EA0" w14:textId="77777777" w:rsidR="0053093A" w:rsidRPr="00514486" w:rsidRDefault="0053093A" w:rsidP="0053093A">
      <w:pPr>
        <w:spacing w:after="0"/>
        <w:rPr>
          <w:i/>
        </w:rPr>
      </w:pPr>
      <w:r w:rsidRPr="00514486">
        <w:rPr>
          <w:i/>
        </w:rPr>
        <w:t>JCU graduates are committed to lifelong learning, intellectual development, and to the display of exemplary personal, professional and ethical standards. They have a sense of their place in the tropics and are charged with professional, community, and environmental responsibility. JCU graduates appreciate the need to embrace and be acquainted with the Aboriginal and Torres Strait Islander Peoples of Australia. They are committed to reconciliation, diversity and sustainability. They exhibit a willingness to lead and to contribute to the intellectual, environmental, cultural, economic and social challenges of regional, national, and international communities of the tropics.</w:t>
      </w:r>
    </w:p>
    <w:p w14:paraId="611483FF" w14:textId="77777777" w:rsidR="0053093A" w:rsidRPr="00514486" w:rsidRDefault="0053093A" w:rsidP="0053093A">
      <w:pPr>
        <w:spacing w:after="0"/>
        <w:rPr>
          <w:b/>
          <w:i/>
        </w:rPr>
      </w:pPr>
      <w:r w:rsidRPr="00514486">
        <w:rPr>
          <w:b/>
          <w:i/>
        </w:rPr>
        <w:t>Learning outcomes:</w:t>
      </w:r>
    </w:p>
    <w:p w14:paraId="6B18C1D9" w14:textId="77777777" w:rsidR="0053093A" w:rsidRPr="00514486" w:rsidRDefault="0053093A" w:rsidP="0053093A">
      <w:pPr>
        <w:spacing w:after="0"/>
        <w:rPr>
          <w:i/>
        </w:rPr>
      </w:pPr>
      <w:r w:rsidRPr="00514486">
        <w:rPr>
          <w:i/>
        </w:rPr>
        <w:t>On successful completion of the Bachelor of Arts, graduates will be able to:</w:t>
      </w:r>
    </w:p>
    <w:p w14:paraId="2FD19779" w14:textId="77777777" w:rsidR="0053093A" w:rsidRPr="00514486" w:rsidRDefault="0053093A" w:rsidP="0053093A">
      <w:pPr>
        <w:numPr>
          <w:ilvl w:val="0"/>
          <w:numId w:val="1"/>
        </w:numPr>
        <w:spacing w:before="0" w:after="0"/>
        <w:ind w:left="714" w:hanging="357"/>
        <w:rPr>
          <w:i/>
        </w:rPr>
      </w:pPr>
      <w:r w:rsidRPr="00514486">
        <w:rPr>
          <w:i/>
        </w:rPr>
        <w:t>Demonstrate a broad and coherent body of knowledge with depth in the underlying principles and concepts of at least one discipline of the Arts, Languages or Social Sciences</w:t>
      </w:r>
      <w:r>
        <w:rPr>
          <w:i/>
        </w:rPr>
        <w:t>;</w:t>
      </w:r>
    </w:p>
    <w:p w14:paraId="16ACB754" w14:textId="77777777" w:rsidR="0053093A" w:rsidRPr="00514486" w:rsidRDefault="0053093A" w:rsidP="0053093A">
      <w:pPr>
        <w:numPr>
          <w:ilvl w:val="0"/>
          <w:numId w:val="1"/>
        </w:numPr>
        <w:spacing w:before="0" w:after="0"/>
        <w:ind w:left="714" w:hanging="357"/>
        <w:rPr>
          <w:i/>
        </w:rPr>
      </w:pPr>
      <w:r w:rsidRPr="00514486">
        <w:rPr>
          <w:i/>
        </w:rPr>
        <w:t>Integrate knowledge of the diversity of cultures and peoples, their differences and commonalities, especially with respect to Indigenous cultures and peoples</w:t>
      </w:r>
      <w:r>
        <w:rPr>
          <w:i/>
        </w:rPr>
        <w:t xml:space="preserve">; </w:t>
      </w:r>
    </w:p>
    <w:p w14:paraId="7B01D818" w14:textId="77777777" w:rsidR="0053093A" w:rsidRPr="00514486" w:rsidRDefault="0053093A" w:rsidP="0053093A">
      <w:pPr>
        <w:numPr>
          <w:ilvl w:val="0"/>
          <w:numId w:val="1"/>
        </w:numPr>
        <w:spacing w:before="0" w:after="0"/>
        <w:ind w:left="714" w:hanging="357"/>
        <w:rPr>
          <w:i/>
        </w:rPr>
      </w:pPr>
      <w:r w:rsidRPr="00514486">
        <w:rPr>
          <w:i/>
        </w:rPr>
        <w:t>Appraise the place and role of Australia and Singapore in the Asia-Pacific region and the tropics worldwide</w:t>
      </w:r>
      <w:r>
        <w:rPr>
          <w:i/>
        </w:rPr>
        <w:t>;</w:t>
      </w:r>
    </w:p>
    <w:p w14:paraId="10CC14F8" w14:textId="77777777" w:rsidR="0053093A" w:rsidRPr="00514486" w:rsidRDefault="0053093A" w:rsidP="0053093A">
      <w:pPr>
        <w:numPr>
          <w:ilvl w:val="0"/>
          <w:numId w:val="1"/>
        </w:numPr>
        <w:spacing w:before="0" w:after="0"/>
        <w:ind w:left="714" w:hanging="357"/>
        <w:rPr>
          <w:i/>
        </w:rPr>
      </w:pPr>
      <w:r w:rsidRPr="00514486">
        <w:rPr>
          <w:i/>
        </w:rPr>
        <w:t>Review critically, analyse, consolidate and synthesise information, claims, and evidence</w:t>
      </w:r>
      <w:r>
        <w:rPr>
          <w:i/>
        </w:rPr>
        <w:t>;</w:t>
      </w:r>
    </w:p>
    <w:p w14:paraId="004D3880" w14:textId="77777777" w:rsidR="0053093A" w:rsidRPr="00514486" w:rsidRDefault="0053093A" w:rsidP="0053093A">
      <w:pPr>
        <w:numPr>
          <w:ilvl w:val="0"/>
          <w:numId w:val="1"/>
        </w:numPr>
        <w:spacing w:before="0" w:after="0"/>
        <w:ind w:left="714" w:hanging="357"/>
        <w:rPr>
          <w:i/>
        </w:rPr>
      </w:pPr>
      <w:r w:rsidRPr="00514486">
        <w:rPr>
          <w:i/>
        </w:rPr>
        <w:t>Apply critical thinking, independent judgement, intercultural sensitivity, and national, regional and global perspectives, to identify and solve problems in at least one discipline of the Arts, Languages or Social Sciences</w:t>
      </w:r>
      <w:r>
        <w:rPr>
          <w:i/>
        </w:rPr>
        <w:t>;</w:t>
      </w:r>
    </w:p>
    <w:p w14:paraId="2D7D4823" w14:textId="77777777" w:rsidR="0053093A" w:rsidRPr="00514486" w:rsidRDefault="0053093A" w:rsidP="0053093A">
      <w:pPr>
        <w:numPr>
          <w:ilvl w:val="0"/>
          <w:numId w:val="1"/>
        </w:numPr>
        <w:spacing w:before="0" w:after="0"/>
        <w:ind w:left="714" w:hanging="357"/>
        <w:rPr>
          <w:i/>
        </w:rPr>
      </w:pPr>
      <w:r w:rsidRPr="00514486">
        <w:rPr>
          <w:i/>
        </w:rPr>
        <w:t>Present a clear and coherent exposition of knowledge and ideas, through proficiency in written and spoken English language and numeracy, appropriate to their audience and in a range of modes and media</w:t>
      </w:r>
      <w:r>
        <w:rPr>
          <w:i/>
        </w:rPr>
        <w:t>;</w:t>
      </w:r>
    </w:p>
    <w:p w14:paraId="3A45450D" w14:textId="77777777" w:rsidR="0053093A" w:rsidRPr="00514486" w:rsidRDefault="0053093A" w:rsidP="0053093A">
      <w:pPr>
        <w:numPr>
          <w:ilvl w:val="0"/>
          <w:numId w:val="1"/>
        </w:numPr>
        <w:spacing w:before="0" w:after="0"/>
        <w:ind w:left="714" w:hanging="357"/>
        <w:rPr>
          <w:i/>
        </w:rPr>
      </w:pPr>
      <w:r w:rsidRPr="00514486">
        <w:rPr>
          <w:i/>
        </w:rPr>
        <w:t>Demonstrate capacity for reflection, planning, ethical decision-making and interdisciplinary team work in diverse contexts of community engagement, professional work and/or scholarship</w:t>
      </w:r>
      <w:r>
        <w:rPr>
          <w:i/>
        </w:rPr>
        <w:t>; and</w:t>
      </w:r>
    </w:p>
    <w:p w14:paraId="0E76DFE3" w14:textId="77777777" w:rsidR="0053093A" w:rsidRPr="00514486" w:rsidRDefault="0053093A" w:rsidP="0053093A">
      <w:pPr>
        <w:numPr>
          <w:ilvl w:val="0"/>
          <w:numId w:val="1"/>
        </w:numPr>
        <w:spacing w:before="0" w:after="0"/>
        <w:ind w:left="714" w:hanging="357"/>
        <w:rPr>
          <w:i/>
        </w:rPr>
      </w:pPr>
      <w:r w:rsidRPr="00514486">
        <w:rPr>
          <w:i/>
        </w:rPr>
        <w:t>Identify and have potential to act and reflect upon opportunities for lifelong learning and career development.</w:t>
      </w:r>
    </w:p>
    <w:p w14:paraId="0177CAFB" w14:textId="77777777" w:rsidR="0053093A" w:rsidRDefault="0053093A" w:rsidP="0053093A">
      <w:pPr>
        <w:pStyle w:val="Heading1"/>
        <w:sectPr w:rsidR="0053093A" w:rsidSect="003F17BC">
          <w:headerReference w:type="default" r:id="rId7"/>
          <w:footerReference w:type="default" r:id="rId8"/>
          <w:pgSz w:w="11900" w:h="16840"/>
          <w:pgMar w:top="1958" w:right="1440" w:bottom="1440" w:left="1440" w:header="708" w:footer="708" w:gutter="0"/>
          <w:cols w:space="708"/>
          <w:docGrid w:linePitch="360"/>
        </w:sectPr>
      </w:pPr>
      <w:bookmarkStart w:id="1" w:name="_Toc474177045"/>
    </w:p>
    <w:p w14:paraId="6BB2A58B" w14:textId="77777777" w:rsidR="0053093A" w:rsidRDefault="0053093A" w:rsidP="003F17BC">
      <w:pPr>
        <w:pStyle w:val="Heading1"/>
        <w:pBdr>
          <w:top w:val="none" w:sz="0" w:space="0" w:color="auto"/>
          <w:left w:val="none" w:sz="0" w:space="0" w:color="auto"/>
          <w:bottom w:val="none" w:sz="0" w:space="0" w:color="auto"/>
          <w:right w:val="none" w:sz="0" w:space="0" w:color="auto"/>
        </w:pBdr>
        <w:shd w:val="clear" w:color="auto" w:fill="038457"/>
      </w:pPr>
      <w:r>
        <w:lastRenderedPageBreak/>
        <w:t>The University of Melbourne</w:t>
      </w:r>
      <w:bookmarkEnd w:id="1"/>
    </w:p>
    <w:p w14:paraId="09FE4151" w14:textId="77777777" w:rsidR="0053093A" w:rsidRPr="00514486" w:rsidRDefault="0053093A" w:rsidP="0053093A">
      <w:pPr>
        <w:spacing w:after="0" w:line="240" w:lineRule="auto"/>
        <w:rPr>
          <w:i/>
        </w:rPr>
      </w:pPr>
      <w:r w:rsidRPr="00514486">
        <w:rPr>
          <w:i/>
        </w:rPr>
        <w:t>Kickstart your inspiring and flexible career at University of Melbourne with our Bachelor of Arts – it’s one of Australia’s most popular degrees. Ranked #1 in Australia and #18 in the world for English Language and Literature (QS World University Rankings by Subject 2016)</w:t>
      </w:r>
    </w:p>
    <w:p w14:paraId="7A1C795E" w14:textId="77777777" w:rsidR="0053093A" w:rsidRPr="00514486" w:rsidRDefault="0053093A" w:rsidP="0053093A">
      <w:pPr>
        <w:spacing w:after="0" w:line="240" w:lineRule="auto"/>
        <w:rPr>
          <w:i/>
        </w:rPr>
      </w:pPr>
      <w:r w:rsidRPr="00514486">
        <w:rPr>
          <w:i/>
        </w:rPr>
        <w:t>More than 30 areas of specialisation available, including languages, psychology, economics and media and communications</w:t>
      </w:r>
    </w:p>
    <w:p w14:paraId="31690D26" w14:textId="77777777" w:rsidR="0053093A" w:rsidRPr="00514486" w:rsidRDefault="0053093A" w:rsidP="0053093A">
      <w:pPr>
        <w:spacing w:after="0" w:line="240" w:lineRule="auto"/>
        <w:rPr>
          <w:i/>
        </w:rPr>
      </w:pPr>
      <w:r w:rsidRPr="00514486">
        <w:rPr>
          <w:i/>
        </w:rPr>
        <w:t>Teaching and research excellence from internationally renowned researchers and leading practitioners in their fields</w:t>
      </w:r>
    </w:p>
    <w:p w14:paraId="262A4A57" w14:textId="77777777" w:rsidR="0053093A" w:rsidRPr="00514486" w:rsidRDefault="0053093A" w:rsidP="0053093A">
      <w:pPr>
        <w:spacing w:after="0" w:line="240" w:lineRule="auto"/>
        <w:rPr>
          <w:i/>
        </w:rPr>
      </w:pPr>
      <w:r w:rsidRPr="00514486">
        <w:rPr>
          <w:i/>
        </w:rPr>
        <w:t>Most popular degree in Victoria (Victorian Tertiary Admissions Centre 2015)</w:t>
      </w:r>
    </w:p>
    <w:p w14:paraId="3F72B5C9" w14:textId="77777777" w:rsidR="0053093A" w:rsidRPr="00514486" w:rsidRDefault="0053093A" w:rsidP="0053093A">
      <w:pPr>
        <w:pStyle w:val="ListParagraph"/>
        <w:numPr>
          <w:ilvl w:val="0"/>
          <w:numId w:val="2"/>
        </w:numPr>
        <w:spacing w:after="0" w:line="240" w:lineRule="auto"/>
        <w:rPr>
          <w:i/>
        </w:rPr>
      </w:pPr>
      <w:r w:rsidRPr="00514486">
        <w:rPr>
          <w:i/>
        </w:rPr>
        <w:t>Flexibility</w:t>
      </w:r>
    </w:p>
    <w:p w14:paraId="2EB4B31E" w14:textId="77777777" w:rsidR="0053093A" w:rsidRPr="00514486" w:rsidRDefault="0053093A" w:rsidP="0053093A">
      <w:pPr>
        <w:pStyle w:val="ListParagraph"/>
        <w:spacing w:after="0" w:line="240" w:lineRule="auto"/>
        <w:rPr>
          <w:i/>
        </w:rPr>
      </w:pPr>
      <w:r w:rsidRPr="00514486">
        <w:rPr>
          <w:i/>
        </w:rPr>
        <w:t>Our innovative and flexible curriculum lets you tailor your degree to match your interests and career goals.</w:t>
      </w:r>
    </w:p>
    <w:p w14:paraId="65484A3B" w14:textId="77777777" w:rsidR="0053093A" w:rsidRPr="00514486" w:rsidRDefault="0053093A" w:rsidP="0053093A">
      <w:pPr>
        <w:pStyle w:val="ListParagraph"/>
        <w:numPr>
          <w:ilvl w:val="0"/>
          <w:numId w:val="2"/>
        </w:numPr>
        <w:spacing w:after="0" w:line="240" w:lineRule="auto"/>
        <w:rPr>
          <w:i/>
        </w:rPr>
      </w:pPr>
      <w:r w:rsidRPr="00514486">
        <w:rPr>
          <w:i/>
        </w:rPr>
        <w:t>Choice</w:t>
      </w:r>
    </w:p>
    <w:p w14:paraId="2154AC73" w14:textId="77777777" w:rsidR="0053093A" w:rsidRPr="00514486" w:rsidRDefault="0053093A" w:rsidP="0053093A">
      <w:pPr>
        <w:pStyle w:val="ListParagraph"/>
        <w:spacing w:after="0" w:line="240" w:lineRule="auto"/>
        <w:rPr>
          <w:i/>
        </w:rPr>
      </w:pPr>
      <w:r w:rsidRPr="00514486">
        <w:rPr>
          <w:i/>
        </w:rPr>
        <w:t>Choose your areas of specialisation from more than 30 study areas, including languages, history, psychology, economics, and media and communications.</w:t>
      </w:r>
    </w:p>
    <w:p w14:paraId="48688AA6" w14:textId="77777777" w:rsidR="0053093A" w:rsidRPr="00514486" w:rsidRDefault="0053093A" w:rsidP="0053093A">
      <w:pPr>
        <w:pStyle w:val="ListParagraph"/>
        <w:numPr>
          <w:ilvl w:val="0"/>
          <w:numId w:val="2"/>
        </w:numPr>
        <w:spacing w:after="0" w:line="240" w:lineRule="auto"/>
        <w:rPr>
          <w:i/>
        </w:rPr>
      </w:pPr>
      <w:r w:rsidRPr="00514486">
        <w:rPr>
          <w:i/>
        </w:rPr>
        <w:t>Diverse opportunities</w:t>
      </w:r>
    </w:p>
    <w:p w14:paraId="6D9BD818" w14:textId="77777777" w:rsidR="0053093A" w:rsidRPr="00514486" w:rsidRDefault="0053093A" w:rsidP="0053093A">
      <w:pPr>
        <w:pStyle w:val="ListParagraph"/>
        <w:spacing w:after="0" w:line="240" w:lineRule="auto"/>
        <w:rPr>
          <w:i/>
        </w:rPr>
      </w:pPr>
      <w:r w:rsidRPr="00514486">
        <w:rPr>
          <w:i/>
        </w:rPr>
        <w:t>Access diverse career opportunities by gaining vital skills that are transferable across industries and professions, including communication, teamwork and research.</w:t>
      </w:r>
    </w:p>
    <w:p w14:paraId="0EBE101A" w14:textId="77777777" w:rsidR="0053093A" w:rsidRPr="00514486" w:rsidRDefault="0053093A" w:rsidP="0053093A">
      <w:pPr>
        <w:pStyle w:val="ListParagraph"/>
        <w:numPr>
          <w:ilvl w:val="0"/>
          <w:numId w:val="2"/>
        </w:numPr>
        <w:spacing w:after="0" w:line="240" w:lineRule="auto"/>
        <w:rPr>
          <w:i/>
        </w:rPr>
      </w:pPr>
      <w:r w:rsidRPr="00514486">
        <w:rPr>
          <w:i/>
        </w:rPr>
        <w:t>Aim higher</w:t>
      </w:r>
    </w:p>
    <w:p w14:paraId="2C7C60D5" w14:textId="77777777" w:rsidR="0053093A" w:rsidRPr="00514486" w:rsidRDefault="0053093A" w:rsidP="0053093A">
      <w:pPr>
        <w:pStyle w:val="ListParagraph"/>
        <w:spacing w:after="0" w:line="240" w:lineRule="auto"/>
        <w:rPr>
          <w:i/>
        </w:rPr>
      </w:pPr>
      <w:r w:rsidRPr="00514486">
        <w:rPr>
          <w:i/>
        </w:rPr>
        <w:t>By enrolling in one of Australia’s most popular degrees, you will be surrounded by other high-achieving students from around the world, which will help you take on new challenges and push yourself to a higher level.</w:t>
      </w:r>
    </w:p>
    <w:p w14:paraId="3A9B8560" w14:textId="77777777" w:rsidR="0053093A" w:rsidRPr="00514486" w:rsidRDefault="0053093A" w:rsidP="0053093A">
      <w:pPr>
        <w:pStyle w:val="ListParagraph"/>
        <w:numPr>
          <w:ilvl w:val="0"/>
          <w:numId w:val="2"/>
        </w:numPr>
        <w:spacing w:after="0" w:line="240" w:lineRule="auto"/>
        <w:rPr>
          <w:i/>
        </w:rPr>
      </w:pPr>
      <w:r w:rsidRPr="00514486">
        <w:rPr>
          <w:i/>
        </w:rPr>
        <w:t>Global citizenship</w:t>
      </w:r>
    </w:p>
    <w:p w14:paraId="7B587DFA" w14:textId="77777777" w:rsidR="0053093A" w:rsidRPr="00514486" w:rsidRDefault="0053093A" w:rsidP="0053093A">
      <w:pPr>
        <w:pStyle w:val="ListParagraph"/>
        <w:spacing w:after="0" w:line="240" w:lineRule="auto"/>
        <w:rPr>
          <w:i/>
        </w:rPr>
      </w:pPr>
      <w:r w:rsidRPr="00514486">
        <w:rPr>
          <w:i/>
        </w:rPr>
        <w:t>Develop an international perspective through cultural and language study, and enjoy opportunities to study overseas.</w:t>
      </w:r>
    </w:p>
    <w:p w14:paraId="1ADA2D99" w14:textId="3AEE24F5" w:rsidR="0053093A" w:rsidRDefault="0053093A" w:rsidP="00F72A0E">
      <w:pPr>
        <w:sectPr w:rsidR="0053093A" w:rsidSect="003F17BC">
          <w:pgSz w:w="11900" w:h="16840"/>
          <w:pgMar w:top="1958" w:right="1440" w:bottom="1440" w:left="1440" w:header="708" w:footer="708" w:gutter="0"/>
          <w:cols w:space="708"/>
          <w:docGrid w:linePitch="360"/>
        </w:sectPr>
      </w:pPr>
      <w:r w:rsidRPr="00DE57C0">
        <w:rPr>
          <w:rFonts w:ascii="Calibri" w:hAnsi="Calibri"/>
          <w:i/>
        </w:rPr>
        <w:t>The Bachelor of Arts offers students a unique range of interdisciplinary skills. Students develop their capacity for critical analysis, creativity and problem-solving, as well as a thorough understanding of the relationship between theory, research and practice. They choose from a wide range of major study areas, equipping them for diverse careers in areas such as media, management, finance, education and government.</w:t>
      </w:r>
      <w:r w:rsidRPr="00DE57C0">
        <w:rPr>
          <w:rFonts w:ascii="Calibri" w:hAnsi="Calibri"/>
          <w:i/>
        </w:rPr>
        <w:br/>
      </w:r>
      <w:bookmarkStart w:id="2" w:name="_Toc474177056"/>
    </w:p>
    <w:p w14:paraId="3F13F69D" w14:textId="77777777" w:rsidR="0053093A" w:rsidRPr="00570587" w:rsidRDefault="0053093A" w:rsidP="003F17BC">
      <w:pPr>
        <w:pStyle w:val="Heading1"/>
        <w:pBdr>
          <w:top w:val="none" w:sz="0" w:space="0" w:color="auto"/>
          <w:left w:val="none" w:sz="0" w:space="0" w:color="auto"/>
          <w:bottom w:val="none" w:sz="0" w:space="0" w:color="auto"/>
          <w:right w:val="none" w:sz="0" w:space="0" w:color="auto"/>
        </w:pBdr>
        <w:shd w:val="clear" w:color="auto" w:fill="038457"/>
      </w:pPr>
      <w:r>
        <w:t>Macquarie University</w:t>
      </w:r>
      <w:bookmarkEnd w:id="2"/>
      <w:r w:rsidRPr="00EA7C3C">
        <w:t xml:space="preserve"> </w:t>
      </w:r>
    </w:p>
    <w:p w14:paraId="27AAEEAF" w14:textId="77777777" w:rsidR="0053093A" w:rsidRPr="00191D59" w:rsidRDefault="0053093A" w:rsidP="0053093A">
      <w:pPr>
        <w:rPr>
          <w:bCs/>
          <w:i/>
        </w:rPr>
      </w:pPr>
      <w:r w:rsidRPr="00191D59">
        <w:rPr>
          <w:bCs/>
          <w:i/>
        </w:rPr>
        <w:t>Arts graduates are highly sought after by employers because arts courses ensure you develop strong capabilities in a range of areas such as problem solving, research, creative thinking and communication – skills essential for success in the 21st century workplace. Macquarie’s Bachelor of Arts allows you to turn your passion into a career by exploring your interests in depth and honing your skills and knowledge through internships, practical application and expert teaching.</w:t>
      </w:r>
    </w:p>
    <w:p w14:paraId="63936CA4" w14:textId="77777777" w:rsidR="0053093A" w:rsidRPr="00191D59" w:rsidRDefault="0053093A" w:rsidP="0053093A">
      <w:pPr>
        <w:rPr>
          <w:bCs/>
          <w:i/>
        </w:rPr>
      </w:pPr>
      <w:r w:rsidRPr="00191D59">
        <w:rPr>
          <w:bCs/>
          <w:i/>
        </w:rPr>
        <w:t>Key features:</w:t>
      </w:r>
    </w:p>
    <w:p w14:paraId="29BBAAD8" w14:textId="77777777" w:rsidR="0053093A" w:rsidRPr="00191D59" w:rsidRDefault="0053093A" w:rsidP="0053093A">
      <w:pPr>
        <w:numPr>
          <w:ilvl w:val="0"/>
          <w:numId w:val="3"/>
        </w:numPr>
        <w:spacing w:before="0" w:after="0" w:line="240" w:lineRule="auto"/>
        <w:ind w:left="714" w:hanging="357"/>
        <w:rPr>
          <w:bCs/>
          <w:i/>
        </w:rPr>
      </w:pPr>
      <w:r w:rsidRPr="00191D59">
        <w:rPr>
          <w:bCs/>
          <w:i/>
        </w:rPr>
        <w:t>No other course at Macquarie offers as much flexibility and as wide a range of units as the Bachelor of Arts.</w:t>
      </w:r>
    </w:p>
    <w:p w14:paraId="1F95DD17" w14:textId="77777777" w:rsidR="0053093A" w:rsidRPr="00191D59" w:rsidRDefault="0053093A" w:rsidP="0053093A">
      <w:pPr>
        <w:numPr>
          <w:ilvl w:val="0"/>
          <w:numId w:val="3"/>
        </w:numPr>
        <w:spacing w:before="0" w:after="0" w:line="240" w:lineRule="auto"/>
        <w:ind w:left="714" w:hanging="357"/>
        <w:rPr>
          <w:bCs/>
          <w:i/>
        </w:rPr>
      </w:pPr>
      <w:r w:rsidRPr="00191D59">
        <w:rPr>
          <w:bCs/>
          <w:i/>
        </w:rPr>
        <w:t>You’ll be taught by active researchers, published academics, and award-winning teachers and industry professionals.</w:t>
      </w:r>
    </w:p>
    <w:p w14:paraId="290E168B" w14:textId="102F9A36" w:rsidR="0053093A" w:rsidRPr="00F72A0E" w:rsidRDefault="0053093A" w:rsidP="00F72A0E">
      <w:pPr>
        <w:numPr>
          <w:ilvl w:val="0"/>
          <w:numId w:val="3"/>
        </w:numPr>
        <w:spacing w:before="0" w:after="0" w:line="240" w:lineRule="auto"/>
        <w:ind w:left="714" w:hanging="357"/>
        <w:rPr>
          <w:bCs/>
          <w:i/>
        </w:rPr>
      </w:pPr>
      <w:r w:rsidRPr="00191D59">
        <w:rPr>
          <w:bCs/>
          <w:i/>
        </w:rPr>
        <w:t>You’ll have the opportunity to connect with employers and communities via internships, work-integrated learning opportunities and study abroad experiences.</w:t>
      </w:r>
    </w:p>
    <w:p w14:paraId="04074D9F" w14:textId="0B5DE91C" w:rsidR="00F72A0E" w:rsidRDefault="00F72A0E" w:rsidP="00F72A0E">
      <w:pPr>
        <w:rPr>
          <w:i/>
        </w:rPr>
      </w:pPr>
      <w:r w:rsidRPr="00F72A0E">
        <w:rPr>
          <w:i/>
        </w:rPr>
        <w:t>The Bachelor of Arts is a broad-ranging, flexible degree allowing you to follow a path to suit your intended career. You can choose from amongst over 40 possible majors from all faculties of the university. You will specialise in a particular area by choosing a major and can also explore ideas across disciplines. This interdisciplinary approach is a hallmark of our graduates and highly valued by employers. The Bachelor of Arts will help you develop problem solving, critical analysis and highly developed communication skills. More information can be found in the information on the individual majors.</w:t>
      </w:r>
      <w:r w:rsidRPr="00F72A0E">
        <w:rPr>
          <w:i/>
        </w:rPr>
        <w:br/>
      </w:r>
      <w:r w:rsidRPr="00F72A0E">
        <w:rPr>
          <w:i/>
        </w:rPr>
        <w:br/>
        <w:t xml:space="preserve">The Bachelor of Arts can also be undertaken as part of a double degree in combination with a range of other degrees offered by the University </w:t>
      </w:r>
    </w:p>
    <w:p w14:paraId="7929E0F6" w14:textId="2CC47EE3" w:rsidR="00F72A0E" w:rsidRPr="00F72A0E" w:rsidRDefault="00F72A0E" w:rsidP="00F72A0E">
      <w:pPr>
        <w:rPr>
          <w:i/>
        </w:rPr>
      </w:pPr>
      <w:r w:rsidRPr="00F72A0E">
        <w:rPr>
          <w:i/>
        </w:rPr>
        <w:t>The Graduate Capabilities Framework articulates the fundamentals that underpin all of Macquarie’s academic programs. It expresses these as follows:</w:t>
      </w:r>
      <w:r w:rsidRPr="00F72A0E">
        <w:rPr>
          <w:i/>
        </w:rPr>
        <w:br/>
      </w:r>
      <w:r w:rsidRPr="00F72A0E">
        <w:rPr>
          <w:i/>
        </w:rPr>
        <w:br/>
      </w:r>
      <w:r w:rsidRPr="00F72A0E">
        <w:rPr>
          <w:b/>
          <w:i/>
        </w:rPr>
        <w:t>Cognitive capabilities</w:t>
      </w:r>
      <w:r w:rsidRPr="00F72A0E">
        <w:rPr>
          <w:b/>
          <w:i/>
        </w:rPr>
        <w:br/>
      </w:r>
      <w:r w:rsidRPr="00F72A0E">
        <w:rPr>
          <w:i/>
        </w:rPr>
        <w:t>(K) discipline specific knowledge and skills</w:t>
      </w:r>
      <w:r w:rsidRPr="00F72A0E">
        <w:rPr>
          <w:i/>
        </w:rPr>
        <w:br/>
        <w:t>(T) critical, analytical and integrative thinking</w:t>
      </w:r>
      <w:r w:rsidRPr="00F72A0E">
        <w:rPr>
          <w:i/>
        </w:rPr>
        <w:br/>
        <w:t>(P) problem solving and research capability</w:t>
      </w:r>
      <w:r w:rsidRPr="00F72A0E">
        <w:rPr>
          <w:i/>
        </w:rPr>
        <w:br/>
        <w:t>(I) creative and innovative</w:t>
      </w:r>
    </w:p>
    <w:p w14:paraId="56A82345" w14:textId="77777777" w:rsidR="00F72A0E" w:rsidRPr="00F72A0E" w:rsidRDefault="00F72A0E" w:rsidP="00F72A0E">
      <w:pPr>
        <w:rPr>
          <w:i/>
        </w:rPr>
      </w:pPr>
      <w:r w:rsidRPr="00F72A0E">
        <w:rPr>
          <w:b/>
          <w:i/>
        </w:rPr>
        <w:t>Interpersonal or social capabilities</w:t>
      </w:r>
      <w:r w:rsidRPr="00F72A0E">
        <w:rPr>
          <w:b/>
          <w:i/>
        </w:rPr>
        <w:br/>
      </w:r>
      <w:r w:rsidRPr="00F72A0E">
        <w:rPr>
          <w:i/>
        </w:rPr>
        <w:t>(C) effective communication</w:t>
      </w:r>
      <w:r w:rsidRPr="00F72A0E">
        <w:rPr>
          <w:i/>
        </w:rPr>
        <w:br/>
        <w:t>(E) engaged and ethical local and global citizens</w:t>
      </w:r>
      <w:r w:rsidRPr="00F72A0E">
        <w:rPr>
          <w:i/>
        </w:rPr>
        <w:br/>
        <w:t>(A) socially and environmentally active and responsible</w:t>
      </w:r>
      <w:r w:rsidRPr="00F72A0E">
        <w:rPr>
          <w:i/>
        </w:rPr>
        <w:br/>
      </w:r>
      <w:r w:rsidRPr="00F72A0E">
        <w:rPr>
          <w:i/>
        </w:rPr>
        <w:br/>
      </w:r>
      <w:r w:rsidRPr="00F72A0E">
        <w:rPr>
          <w:b/>
          <w:i/>
        </w:rPr>
        <w:t>Personal capabilities</w:t>
      </w:r>
      <w:r w:rsidRPr="00F72A0E">
        <w:rPr>
          <w:b/>
          <w:i/>
        </w:rPr>
        <w:br/>
      </w:r>
      <w:r w:rsidRPr="00F72A0E">
        <w:rPr>
          <w:i/>
        </w:rPr>
        <w:t>(J) capable of professional and personal judgement and initiative</w:t>
      </w:r>
      <w:r w:rsidRPr="00F72A0E">
        <w:rPr>
          <w:i/>
        </w:rPr>
        <w:br/>
        <w:t>(L) commitment to continuous learning</w:t>
      </w:r>
    </w:p>
    <w:p w14:paraId="3593AD60" w14:textId="77777777" w:rsidR="00F72A0E" w:rsidRPr="00F72A0E" w:rsidRDefault="00F72A0E" w:rsidP="00F72A0E">
      <w:pPr>
        <w:rPr>
          <w:i/>
        </w:rPr>
        <w:sectPr w:rsidR="00F72A0E" w:rsidRPr="00F72A0E" w:rsidSect="003F17BC">
          <w:pgSz w:w="11900" w:h="16840"/>
          <w:pgMar w:top="1972" w:right="1440" w:bottom="1440" w:left="1440" w:header="708" w:footer="708" w:gutter="0"/>
          <w:cols w:space="708"/>
          <w:docGrid w:linePitch="360"/>
        </w:sectPr>
      </w:pPr>
    </w:p>
    <w:p w14:paraId="1C83A811" w14:textId="77777777" w:rsidR="0053093A" w:rsidRPr="00E20B05" w:rsidRDefault="0053093A" w:rsidP="003F17BC">
      <w:pPr>
        <w:pStyle w:val="Heading1"/>
        <w:pBdr>
          <w:top w:val="none" w:sz="0" w:space="0" w:color="auto"/>
          <w:left w:val="none" w:sz="0" w:space="0" w:color="auto"/>
          <w:bottom w:val="none" w:sz="0" w:space="0" w:color="auto"/>
          <w:right w:val="none" w:sz="0" w:space="0" w:color="auto"/>
        </w:pBdr>
        <w:shd w:val="clear" w:color="auto" w:fill="038457"/>
      </w:pPr>
      <w:bookmarkStart w:id="3" w:name="_Toc474177050"/>
      <w:r>
        <w:t>Swinburne University</w:t>
      </w:r>
      <w:bookmarkEnd w:id="3"/>
      <w:r w:rsidRPr="00EA7C3C">
        <w:t xml:space="preserve"> </w:t>
      </w:r>
    </w:p>
    <w:p w14:paraId="23EEC6A2" w14:textId="77777777" w:rsidR="0053093A" w:rsidRDefault="0053093A" w:rsidP="0053093A">
      <w:pPr>
        <w:rPr>
          <w:rFonts w:ascii="Calibri" w:hAnsi="Calibri"/>
          <w:i/>
        </w:rPr>
      </w:pPr>
      <w:r w:rsidRPr="00DE57C0">
        <w:rPr>
          <w:rFonts w:ascii="Calibri" w:hAnsi="Calibri"/>
          <w:i/>
        </w:rPr>
        <w:t>The Bachelor of Arts offers students a unique range of interdisciplinary skills. Students develop their capacity for critical analysis, creativity and problem-solving, as well as a thorough understanding of the relationship between theory, research and practice. They choose from a wide range of major study areas, equipping them for diverse careers in areas such as media, management, finance, education and government.</w:t>
      </w:r>
      <w:r w:rsidRPr="00DE57C0">
        <w:rPr>
          <w:rFonts w:ascii="Calibri" w:hAnsi="Calibri"/>
          <w:i/>
        </w:rPr>
        <w:br/>
      </w:r>
      <w:r w:rsidRPr="00DE57C0">
        <w:rPr>
          <w:rFonts w:ascii="Calibri" w:hAnsi="Calibri"/>
          <w:i/>
        </w:rPr>
        <w:br/>
        <w:t>A key component of the degree is the Grand Challenges final-year project. Conducted in collaboration with the Swinburne Institute of Social Research, the project fosters team-based research activity and challenges students to go beyond the comfort of discipline boundaries. Students develop valuable collaborative skills as</w:t>
      </w:r>
      <w:r w:rsidRPr="00374B76">
        <w:rPr>
          <w:rFonts w:ascii="Calibri" w:hAnsi="Calibri"/>
        </w:rPr>
        <w:t xml:space="preserve"> </w:t>
      </w:r>
      <w:r w:rsidRPr="00DE57C0">
        <w:rPr>
          <w:rFonts w:ascii="Calibri" w:hAnsi="Calibri"/>
          <w:i/>
        </w:rPr>
        <w:t>they research innovative solutions to contemporary issues facing society. The course offers students lifelong learning skills with a global and multidisciplinary awareness.</w:t>
      </w:r>
    </w:p>
    <w:p w14:paraId="67203066" w14:textId="77777777" w:rsidR="00D42B55" w:rsidRPr="00D42B55" w:rsidRDefault="00D42B55" w:rsidP="00D42B55">
      <w:pPr>
        <w:pStyle w:val="Heading1"/>
        <w:pBdr>
          <w:top w:val="none" w:sz="0" w:space="0" w:color="auto"/>
          <w:left w:val="none" w:sz="0" w:space="0" w:color="auto"/>
          <w:bottom w:val="none" w:sz="0" w:space="0" w:color="auto"/>
          <w:right w:val="none" w:sz="0" w:space="0" w:color="auto"/>
        </w:pBdr>
        <w:shd w:val="clear" w:color="auto" w:fill="E2EFD9" w:themeFill="accent6" w:themeFillTint="33"/>
        <w:rPr>
          <w:rFonts w:eastAsia="Times New Roman"/>
          <w:b w:val="0"/>
          <w:color w:val="000000" w:themeColor="text1"/>
          <w:lang w:val="en-GB" w:eastAsia="en-GB"/>
        </w:rPr>
      </w:pPr>
      <w:r w:rsidRPr="00D42B55">
        <w:rPr>
          <w:rFonts w:eastAsia="Times New Roman"/>
          <w:b w:val="0"/>
          <w:color w:val="000000" w:themeColor="text1"/>
        </w:rPr>
        <w:t>The Grand Challenges</w:t>
      </w:r>
    </w:p>
    <w:p w14:paraId="0F5E3CAE" w14:textId="77777777" w:rsidR="00D42B55" w:rsidRDefault="00D42B55" w:rsidP="00D42B55">
      <w:pPr>
        <w:rPr>
          <w:rFonts w:eastAsia="Times New Roman"/>
        </w:rPr>
      </w:pPr>
      <w:r>
        <w:rPr>
          <w:rFonts w:eastAsia="Times New Roman"/>
        </w:rPr>
        <w:t>The Grand Challenges, which focusses on some of the most important challenges facing humanity in the 21st Century, aims to provide Bachelor of Arts, Bachelor of Journalism and Bachelor of Interna</w:t>
      </w:r>
      <w:r>
        <w:rPr>
          <w:rFonts w:eastAsia="Times New Roman"/>
        </w:rPr>
        <w:t>tional Studies students with:</w:t>
      </w:r>
    </w:p>
    <w:p w14:paraId="47E9B677" w14:textId="77777777" w:rsidR="00D42B55" w:rsidRPr="00D42B55" w:rsidRDefault="00D42B55" w:rsidP="00D42B55">
      <w:pPr>
        <w:pStyle w:val="ListParagraph"/>
        <w:numPr>
          <w:ilvl w:val="0"/>
          <w:numId w:val="4"/>
        </w:numPr>
        <w:rPr>
          <w:rFonts w:eastAsia="Times New Roman"/>
        </w:rPr>
      </w:pPr>
      <w:r w:rsidRPr="00D42B55">
        <w:rPr>
          <w:rFonts w:eastAsia="Times New Roman"/>
        </w:rPr>
        <w:t>A distinctive learning experience, offering students the opportunity to work with other students and academic staff across a range of humanities and social science disciplines, on a project responding to one of the major social, cultural and economic c</w:t>
      </w:r>
      <w:r w:rsidRPr="00D42B55">
        <w:rPr>
          <w:rFonts w:eastAsia="Times New Roman"/>
        </w:rPr>
        <w:t>hallenges of the 21st century</w:t>
      </w:r>
      <w:r w:rsidRPr="00D42B55">
        <w:rPr>
          <w:rFonts w:eastAsia="Times New Roman"/>
        </w:rPr>
        <w:br/>
      </w:r>
      <w:r w:rsidRPr="00D42B55">
        <w:rPr>
          <w:rFonts w:eastAsia="Times New Roman"/>
        </w:rPr>
        <w:t xml:space="preserve">Skills and demonstrated capability in interdisciplinary, project-based </w:t>
      </w:r>
      <w:r w:rsidRPr="00D42B55">
        <w:rPr>
          <w:rFonts w:eastAsia="Times New Roman"/>
        </w:rPr>
        <w:t>analysis and problem-solving</w:t>
      </w:r>
    </w:p>
    <w:p w14:paraId="6E161CD6" w14:textId="33B07B93" w:rsidR="00D42B55" w:rsidRPr="00D42B55" w:rsidRDefault="00D42B55" w:rsidP="00D42B55">
      <w:pPr>
        <w:pStyle w:val="ListParagraph"/>
        <w:numPr>
          <w:ilvl w:val="0"/>
          <w:numId w:val="4"/>
        </w:numPr>
        <w:rPr>
          <w:rFonts w:eastAsia="Times New Roman"/>
        </w:rPr>
      </w:pPr>
      <w:r w:rsidRPr="00D42B55">
        <w:rPr>
          <w:rFonts w:eastAsia="Times New Roman"/>
        </w:rPr>
        <w:t>S</w:t>
      </w:r>
      <w:r w:rsidRPr="00D42B55">
        <w:rPr>
          <w:rFonts w:eastAsia="Times New Roman"/>
        </w:rPr>
        <w:t>kills and demons</w:t>
      </w:r>
      <w:r>
        <w:rPr>
          <w:rFonts w:eastAsia="Times New Roman"/>
        </w:rPr>
        <w:t>trated capability in teamwork</w:t>
      </w:r>
    </w:p>
    <w:p w14:paraId="57AB1CE2" w14:textId="615D4117" w:rsidR="00D42B55" w:rsidRPr="00D42B55" w:rsidRDefault="00D42B55" w:rsidP="00D42B55">
      <w:pPr>
        <w:pStyle w:val="ListParagraph"/>
        <w:numPr>
          <w:ilvl w:val="0"/>
          <w:numId w:val="4"/>
        </w:numPr>
        <w:rPr>
          <w:rFonts w:eastAsia="Times New Roman"/>
        </w:rPr>
      </w:pPr>
      <w:r w:rsidRPr="00D42B55">
        <w:rPr>
          <w:rFonts w:eastAsia="Times New Roman"/>
        </w:rPr>
        <w:t xml:space="preserve">Skills and demonstrated capability in communicating scholarship and knowledge across disciplines and to a wider audience. </w:t>
      </w:r>
    </w:p>
    <w:p w14:paraId="289A7D89" w14:textId="77777777" w:rsidR="00D42B55" w:rsidRDefault="00D42B55" w:rsidP="00D42B55">
      <w:pPr>
        <w:rPr>
          <w:rFonts w:eastAsia="Times New Roman"/>
        </w:rPr>
      </w:pPr>
      <w:r>
        <w:rPr>
          <w:rFonts w:eastAsia="Times New Roman"/>
        </w:rPr>
        <w:t>After successfully completing this uni</w:t>
      </w:r>
      <w:r>
        <w:rPr>
          <w:rFonts w:eastAsia="Times New Roman"/>
        </w:rPr>
        <w:t>t, students will be able to:</w:t>
      </w:r>
    </w:p>
    <w:p w14:paraId="4CD6329F" w14:textId="5D86A799" w:rsidR="00D42B55" w:rsidRPr="00D42B55" w:rsidRDefault="00D42B55" w:rsidP="00D42B55">
      <w:pPr>
        <w:pStyle w:val="ListParagraph"/>
        <w:numPr>
          <w:ilvl w:val="0"/>
          <w:numId w:val="5"/>
        </w:numPr>
        <w:rPr>
          <w:rFonts w:eastAsia="Times New Roman"/>
        </w:rPr>
      </w:pPr>
      <w:r w:rsidRPr="00D42B55">
        <w:rPr>
          <w:rFonts w:eastAsia="Times New Roman"/>
        </w:rPr>
        <w:t>Systematically review, critically evaluate, and apply research from a variety of sources to inform students’ knowledge and conceptual understandings in an interdisciplinary humanities</w:t>
      </w:r>
      <w:r w:rsidRPr="00D42B55">
        <w:rPr>
          <w:rFonts w:eastAsia="Times New Roman"/>
        </w:rPr>
        <w:t xml:space="preserve"> and social sciences context</w:t>
      </w:r>
    </w:p>
    <w:p w14:paraId="3F7B2C10" w14:textId="77777777" w:rsidR="00D42B55" w:rsidRPr="00D42B55" w:rsidRDefault="00D42B55" w:rsidP="00D42B55">
      <w:pPr>
        <w:pStyle w:val="ListParagraph"/>
        <w:numPr>
          <w:ilvl w:val="0"/>
          <w:numId w:val="5"/>
        </w:numPr>
        <w:rPr>
          <w:rFonts w:eastAsia="Times New Roman"/>
        </w:rPr>
      </w:pPr>
      <w:r w:rsidRPr="00D42B55">
        <w:rPr>
          <w:rFonts w:eastAsia="Times New Roman"/>
        </w:rPr>
        <w:t>Formulate and synthesise arguments that are fit for purpose and demonstrate an understanding of relevant theories and evidence in an interdisciplinary humanitie</w:t>
      </w:r>
      <w:r w:rsidRPr="00D42B55">
        <w:rPr>
          <w:rFonts w:eastAsia="Times New Roman"/>
        </w:rPr>
        <w:t>s and social science context</w:t>
      </w:r>
    </w:p>
    <w:p w14:paraId="5AE75B6E" w14:textId="77777777" w:rsidR="00D42B55" w:rsidRPr="00D42B55" w:rsidRDefault="00D42B55" w:rsidP="00D42B55">
      <w:pPr>
        <w:pStyle w:val="ListParagraph"/>
        <w:numPr>
          <w:ilvl w:val="0"/>
          <w:numId w:val="5"/>
        </w:numPr>
        <w:rPr>
          <w:rFonts w:eastAsia="Times New Roman"/>
        </w:rPr>
      </w:pPr>
      <w:r w:rsidRPr="00D42B55">
        <w:rPr>
          <w:rFonts w:eastAsia="Times New Roman"/>
        </w:rPr>
        <w:t>Generate creative solutions to complex problems in the humanities and soc</w:t>
      </w:r>
      <w:r w:rsidRPr="00D42B55">
        <w:rPr>
          <w:rFonts w:eastAsia="Times New Roman"/>
        </w:rPr>
        <w:t>ial sciences</w:t>
      </w:r>
    </w:p>
    <w:p w14:paraId="455CC87F" w14:textId="77777777" w:rsidR="00D42B55" w:rsidRPr="00D42B55" w:rsidRDefault="00D42B55" w:rsidP="00D42B55">
      <w:pPr>
        <w:pStyle w:val="ListParagraph"/>
        <w:numPr>
          <w:ilvl w:val="0"/>
          <w:numId w:val="5"/>
        </w:numPr>
        <w:rPr>
          <w:rFonts w:eastAsia="Times New Roman"/>
        </w:rPr>
      </w:pPr>
      <w:r w:rsidRPr="00D42B55">
        <w:rPr>
          <w:rFonts w:eastAsia="Times New Roman"/>
        </w:rPr>
        <w:t>Appraise, integrate and apply theoretical principles in a collaborativ</w:t>
      </w:r>
      <w:r w:rsidRPr="00D42B55">
        <w:rPr>
          <w:rFonts w:eastAsia="Times New Roman"/>
        </w:rPr>
        <w:t>e, interdisciplinary context</w:t>
      </w:r>
    </w:p>
    <w:p w14:paraId="11963B12" w14:textId="77777777" w:rsidR="00D42B55" w:rsidRPr="00D42B55" w:rsidRDefault="00D42B55" w:rsidP="00D42B55">
      <w:pPr>
        <w:pStyle w:val="ListParagraph"/>
        <w:numPr>
          <w:ilvl w:val="0"/>
          <w:numId w:val="5"/>
        </w:numPr>
        <w:rPr>
          <w:rFonts w:eastAsia="Times New Roman"/>
        </w:rPr>
      </w:pPr>
      <w:r w:rsidRPr="00D42B55">
        <w:rPr>
          <w:rFonts w:eastAsia="Times New Roman"/>
        </w:rPr>
        <w:t>Apply knowledge and skills with responsibility and accountability for students’ own learning and practice, individually and in collaboration with others</w:t>
      </w:r>
    </w:p>
    <w:p w14:paraId="1E2903A1" w14:textId="063D0D4B" w:rsidR="00D42B55" w:rsidRPr="00D42B55" w:rsidRDefault="00D42B55" w:rsidP="0053093A">
      <w:pPr>
        <w:pStyle w:val="ListParagraph"/>
        <w:numPr>
          <w:ilvl w:val="0"/>
          <w:numId w:val="5"/>
        </w:numPr>
        <w:rPr>
          <w:rFonts w:eastAsia="Times New Roman"/>
        </w:rPr>
      </w:pPr>
      <w:r w:rsidRPr="00D42B55">
        <w:rPr>
          <w:rFonts w:eastAsia="Times New Roman"/>
        </w:rPr>
        <w:t xml:space="preserve">Interpret and communicate ideas, problems and arguments in creative ways suitable to a range of audiences using a variety of media. </w:t>
      </w:r>
    </w:p>
    <w:p w14:paraId="5834F046" w14:textId="77777777" w:rsidR="00825201" w:rsidRDefault="002D37FC">
      <w:bookmarkStart w:id="4" w:name="_GoBack"/>
      <w:bookmarkEnd w:id="4"/>
    </w:p>
    <w:sectPr w:rsidR="00825201" w:rsidSect="003F17BC">
      <w:pgSz w:w="11900" w:h="16840"/>
      <w:pgMar w:top="2238"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0F27B" w14:textId="77777777" w:rsidR="002D37FC" w:rsidRDefault="002D37FC" w:rsidP="0053093A">
      <w:pPr>
        <w:spacing w:before="0" w:after="0" w:line="240" w:lineRule="auto"/>
      </w:pPr>
      <w:r>
        <w:separator/>
      </w:r>
    </w:p>
  </w:endnote>
  <w:endnote w:type="continuationSeparator" w:id="0">
    <w:p w14:paraId="366D8D99" w14:textId="77777777" w:rsidR="002D37FC" w:rsidRDefault="002D37FC" w:rsidP="005309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608"/>
      <w:gridCol w:w="2412"/>
    </w:tblGrid>
    <w:tr w:rsidR="003F17BC" w14:paraId="6406331E" w14:textId="77777777" w:rsidTr="002071D0">
      <w:tc>
        <w:tcPr>
          <w:tcW w:w="7230" w:type="dxa"/>
          <w:tcBorders>
            <w:top w:val="nil"/>
            <w:left w:val="nil"/>
            <w:bottom w:val="nil"/>
            <w:right w:val="nil"/>
          </w:tcBorders>
        </w:tcPr>
        <w:p w14:paraId="56F4AD45" w14:textId="77777777" w:rsidR="003F17BC" w:rsidRPr="00DE58FE" w:rsidRDefault="003F17BC" w:rsidP="002071D0">
          <w:pPr>
            <w:pStyle w:val="Footer"/>
            <w:rPr>
              <w:noProof/>
              <w:lang w:eastAsia="en-GB"/>
            </w:rPr>
          </w:pPr>
          <w:r w:rsidRPr="00DE58FE">
            <w:rPr>
              <w:noProof/>
              <w:lang w:val="en-GB" w:eastAsia="en-GB"/>
            </w:rPr>
            <w:drawing>
              <wp:inline distT="0" distB="0" distL="0" distR="0" wp14:anchorId="5CE4025A" wp14:editId="323B2B96">
                <wp:extent cx="1768829" cy="421889"/>
                <wp:effectExtent l="0" t="0" r="9525" b="10160"/>
                <wp:docPr id="4" name="Picture 4" descr="/Users/uqdganna/Dropbox/Fellowship/Website/OLT_logo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s/uqdganna/Dropbox/Fellowship/Website/OLT_logo_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743" cy="451683"/>
                        </a:xfrm>
                        <a:prstGeom prst="rect">
                          <a:avLst/>
                        </a:prstGeom>
                        <a:noFill/>
                        <a:ln>
                          <a:noFill/>
                        </a:ln>
                      </pic:spPr>
                    </pic:pic>
                  </a:graphicData>
                </a:graphic>
              </wp:inline>
            </w:drawing>
          </w:r>
        </w:p>
      </w:tc>
      <w:tc>
        <w:tcPr>
          <w:tcW w:w="2500" w:type="dxa"/>
          <w:tcBorders>
            <w:top w:val="nil"/>
            <w:left w:val="nil"/>
            <w:bottom w:val="nil"/>
            <w:right w:val="nil"/>
          </w:tcBorders>
        </w:tcPr>
        <w:p w14:paraId="03A820FD" w14:textId="77777777" w:rsidR="003F17BC" w:rsidRDefault="003F17BC" w:rsidP="002071D0">
          <w:pPr>
            <w:pStyle w:val="Footer"/>
            <w:jc w:val="right"/>
          </w:pPr>
          <w:r w:rsidRPr="000C3A92">
            <w:rPr>
              <w:noProof/>
              <w:lang w:val="en-GB" w:eastAsia="en-GB"/>
            </w:rPr>
            <w:drawing>
              <wp:inline distT="0" distB="0" distL="0" distR="0" wp14:anchorId="2303DAC2" wp14:editId="65EBFFF8">
                <wp:extent cx="1072033" cy="471390"/>
                <wp:effectExtent l="0" t="0" r="0" b="11430"/>
                <wp:docPr id="5" name="Picture 1" descr="Screen Shot 2016-08-30 at 5.15.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Shot 2016-08-30 at 5.15.43 pm.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83650" cy="476498"/>
                        </a:xfrm>
                        <a:prstGeom prst="rect">
                          <a:avLst/>
                        </a:prstGeom>
                      </pic:spPr>
                    </pic:pic>
                  </a:graphicData>
                </a:graphic>
              </wp:inline>
            </w:drawing>
          </w:r>
        </w:p>
      </w:tc>
    </w:tr>
  </w:tbl>
  <w:p w14:paraId="49C23B51" w14:textId="77777777" w:rsidR="003F17BC" w:rsidRDefault="003F17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479EF" w14:textId="77777777" w:rsidR="002D37FC" w:rsidRDefault="002D37FC" w:rsidP="0053093A">
      <w:pPr>
        <w:spacing w:before="0" w:after="0" w:line="240" w:lineRule="auto"/>
      </w:pPr>
      <w:r>
        <w:separator/>
      </w:r>
    </w:p>
  </w:footnote>
  <w:footnote w:type="continuationSeparator" w:id="0">
    <w:p w14:paraId="7C1035E9" w14:textId="77777777" w:rsidR="002D37FC" w:rsidRDefault="002D37FC" w:rsidP="0053093A">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1A4E5" w14:textId="77777777" w:rsidR="003F17BC" w:rsidRDefault="003F17BC" w:rsidP="003F17BC">
    <w:pPr>
      <w:pStyle w:val="Header"/>
      <w:tabs>
        <w:tab w:val="clear" w:pos="9026"/>
        <w:tab w:val="right" w:pos="9020"/>
      </w:tabs>
      <w:jc w:val="right"/>
    </w:pPr>
    <w:r>
      <w:rPr>
        <w:noProof/>
        <w:lang w:val="en-GB" w:eastAsia="en-GB"/>
      </w:rPr>
      <w:drawing>
        <wp:anchor distT="0" distB="0" distL="114300" distR="114300" simplePos="0" relativeHeight="251659264" behindDoc="1" locked="0" layoutInCell="1" allowOverlap="1" wp14:anchorId="1998C2A0" wp14:editId="146F3F48">
          <wp:simplePos x="0" y="0"/>
          <wp:positionH relativeFrom="column">
            <wp:posOffset>4508733</wp:posOffset>
          </wp:positionH>
          <wp:positionV relativeFrom="paragraph">
            <wp:posOffset>-74930</wp:posOffset>
          </wp:positionV>
          <wp:extent cx="2129155" cy="834390"/>
          <wp:effectExtent l="0" t="0" r="4445" b="381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Cover photo.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129155" cy="834390"/>
                  </a:xfrm>
                  <a:prstGeom prst="rect">
                    <a:avLst/>
                  </a:prstGeom>
                </pic:spPr>
              </pic:pic>
            </a:graphicData>
          </a:graphic>
          <wp14:sizeRelH relativeFrom="page">
            <wp14:pctWidth>0</wp14:pctWidth>
          </wp14:sizeRelH>
          <wp14:sizeRelV relativeFrom="page">
            <wp14:pctHeight>0</wp14:pctHeight>
          </wp14:sizeRelV>
        </wp:anchor>
      </w:drawing>
    </w:r>
  </w:p>
  <w:p w14:paraId="6DEF8A47" w14:textId="77777777" w:rsidR="003F17BC" w:rsidRDefault="003F17BC" w:rsidP="003F17BC">
    <w:pPr>
      <w:pStyle w:val="Header"/>
      <w:tabs>
        <w:tab w:val="clear" w:pos="4513"/>
        <w:tab w:val="clear" w:pos="9026"/>
        <w:tab w:val="left" w:pos="5245"/>
        <w:tab w:val="left" w:pos="8180"/>
      </w:tabs>
    </w:pPr>
    <w:r>
      <w:rPr>
        <w:noProof/>
        <w:lang w:val="en-GB" w:eastAsia="en-GB"/>
      </w:rPr>
      <mc:AlternateContent>
        <mc:Choice Requires="wps">
          <w:drawing>
            <wp:anchor distT="0" distB="0" distL="114300" distR="114300" simplePos="0" relativeHeight="251660288" behindDoc="0" locked="0" layoutInCell="1" allowOverlap="1" wp14:anchorId="0ADB67C1" wp14:editId="0FEA187A">
              <wp:simplePos x="0" y="0"/>
              <wp:positionH relativeFrom="column">
                <wp:posOffset>-901065</wp:posOffset>
              </wp:positionH>
              <wp:positionV relativeFrom="paragraph">
                <wp:posOffset>415925</wp:posOffset>
              </wp:positionV>
              <wp:extent cx="7543800" cy="114300"/>
              <wp:effectExtent l="0" t="0" r="25400" b="38100"/>
              <wp:wrapNone/>
              <wp:docPr id="1" name="Rectangle 1"/>
              <wp:cNvGraphicFramePr/>
              <a:graphic xmlns:a="http://schemas.openxmlformats.org/drawingml/2006/main">
                <a:graphicData uri="http://schemas.microsoft.com/office/word/2010/wordprocessingShape">
                  <wps:wsp>
                    <wps:cNvSpPr/>
                    <wps:spPr>
                      <a:xfrm>
                        <a:off x="0" y="0"/>
                        <a:ext cx="7543800" cy="114300"/>
                      </a:xfrm>
                      <a:prstGeom prst="rect">
                        <a:avLst/>
                      </a:prstGeom>
                      <a:solidFill>
                        <a:srgbClr val="038457"/>
                      </a:solidFill>
                      <a:ln>
                        <a:solidFill>
                          <a:srgbClr val="03A57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67F2D4" id="Rectangle 1" o:spid="_x0000_s1026" style="position:absolute;margin-left:-70.95pt;margin-top:32.75pt;width:594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" fillcolor="#038457" strokecolor="#03a570" strokeweight=".5pt"/>
          </w:pict>
        </mc:Fallback>
      </mc:AlternateContent>
    </w:r>
    <w:r>
      <w:tab/>
    </w:r>
  </w:p>
  <w:p w14:paraId="2F626CDC" w14:textId="0AF0A447" w:rsidR="003F17BC" w:rsidRDefault="003F17BC" w:rsidP="003F17BC">
    <w:pPr>
      <w:pStyle w:val="Header"/>
      <w:tabs>
        <w:tab w:val="clear" w:pos="4513"/>
        <w:tab w:val="clear" w:pos="9026"/>
        <w:tab w:val="left" w:pos="818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034A0"/>
    <w:multiLevelType w:val="multilevel"/>
    <w:tmpl w:val="5906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A48FD"/>
    <w:multiLevelType w:val="hybridMultilevel"/>
    <w:tmpl w:val="7D06C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ED044BF"/>
    <w:multiLevelType w:val="multilevel"/>
    <w:tmpl w:val="14E4E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9627E3"/>
    <w:multiLevelType w:val="hybridMultilevel"/>
    <w:tmpl w:val="E94A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11612F"/>
    <w:multiLevelType w:val="hybridMultilevel"/>
    <w:tmpl w:val="0CFA4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3A"/>
    <w:rsid w:val="00097014"/>
    <w:rsid w:val="00175EC1"/>
    <w:rsid w:val="0029369C"/>
    <w:rsid w:val="002D37FC"/>
    <w:rsid w:val="003D09F7"/>
    <w:rsid w:val="003F17BC"/>
    <w:rsid w:val="00412CD4"/>
    <w:rsid w:val="0053093A"/>
    <w:rsid w:val="005F608B"/>
    <w:rsid w:val="007D0DD3"/>
    <w:rsid w:val="009A5CA6"/>
    <w:rsid w:val="00AA1D4C"/>
    <w:rsid w:val="00B9272A"/>
    <w:rsid w:val="00D42B55"/>
    <w:rsid w:val="00F72A0E"/>
    <w:rsid w:val="00FB4159"/>
    <w:rsid w:val="00FE453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FEC4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093A"/>
    <w:pPr>
      <w:spacing w:before="200" w:after="200" w:line="276" w:lineRule="auto"/>
    </w:pPr>
    <w:rPr>
      <w:rFonts w:eastAsiaTheme="minorEastAsia"/>
      <w:sz w:val="20"/>
      <w:szCs w:val="20"/>
      <w:lang w:val="en-AU"/>
    </w:rPr>
  </w:style>
  <w:style w:type="paragraph" w:styleId="Heading1">
    <w:name w:val="heading 1"/>
    <w:basedOn w:val="Normal"/>
    <w:next w:val="Normal"/>
    <w:link w:val="Heading1Char"/>
    <w:uiPriority w:val="9"/>
    <w:qFormat/>
    <w:rsid w:val="0053093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3093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42B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93A"/>
    <w:rPr>
      <w:rFonts w:eastAsiaTheme="minorEastAsia"/>
      <w:b/>
      <w:bCs/>
      <w:caps/>
      <w:color w:val="FFFFFF" w:themeColor="background1"/>
      <w:spacing w:val="15"/>
      <w:sz w:val="22"/>
      <w:szCs w:val="22"/>
      <w:shd w:val="clear" w:color="auto" w:fill="4472C4" w:themeFill="accent1"/>
      <w:lang w:val="en-AU"/>
    </w:rPr>
  </w:style>
  <w:style w:type="character" w:customStyle="1" w:styleId="Heading2Char">
    <w:name w:val="Heading 2 Char"/>
    <w:basedOn w:val="DefaultParagraphFont"/>
    <w:link w:val="Heading2"/>
    <w:uiPriority w:val="9"/>
    <w:rsid w:val="0053093A"/>
    <w:rPr>
      <w:rFonts w:eastAsiaTheme="minorEastAsia"/>
      <w:caps/>
      <w:spacing w:val="15"/>
      <w:sz w:val="22"/>
      <w:szCs w:val="22"/>
      <w:shd w:val="clear" w:color="auto" w:fill="D9E2F3" w:themeFill="accent1" w:themeFillTint="33"/>
      <w:lang w:val="en-AU"/>
    </w:rPr>
  </w:style>
  <w:style w:type="character" w:styleId="Hyperlink">
    <w:name w:val="Hyperlink"/>
    <w:basedOn w:val="DefaultParagraphFont"/>
    <w:uiPriority w:val="99"/>
    <w:unhideWhenUsed/>
    <w:rsid w:val="0053093A"/>
    <w:rPr>
      <w:color w:val="0563C1" w:themeColor="hyperlink"/>
      <w:u w:val="single"/>
    </w:rPr>
  </w:style>
  <w:style w:type="paragraph" w:styleId="FootnoteText">
    <w:name w:val="footnote text"/>
    <w:basedOn w:val="Normal"/>
    <w:link w:val="FootnoteTextChar"/>
    <w:uiPriority w:val="99"/>
    <w:semiHidden/>
    <w:unhideWhenUsed/>
    <w:rsid w:val="0053093A"/>
    <w:pPr>
      <w:spacing w:after="0" w:line="240" w:lineRule="auto"/>
    </w:pPr>
  </w:style>
  <w:style w:type="character" w:customStyle="1" w:styleId="FootnoteTextChar">
    <w:name w:val="Footnote Text Char"/>
    <w:basedOn w:val="DefaultParagraphFont"/>
    <w:link w:val="FootnoteText"/>
    <w:uiPriority w:val="99"/>
    <w:semiHidden/>
    <w:rsid w:val="0053093A"/>
    <w:rPr>
      <w:rFonts w:eastAsiaTheme="minorEastAsia"/>
      <w:sz w:val="20"/>
      <w:szCs w:val="20"/>
      <w:lang w:val="en-AU"/>
    </w:rPr>
  </w:style>
  <w:style w:type="character" w:styleId="FootnoteReference">
    <w:name w:val="footnote reference"/>
    <w:basedOn w:val="DefaultParagraphFont"/>
    <w:uiPriority w:val="99"/>
    <w:semiHidden/>
    <w:unhideWhenUsed/>
    <w:rsid w:val="0053093A"/>
    <w:rPr>
      <w:vertAlign w:val="superscript"/>
    </w:rPr>
  </w:style>
  <w:style w:type="paragraph" w:styleId="ListParagraph">
    <w:name w:val="List Paragraph"/>
    <w:basedOn w:val="Normal"/>
    <w:uiPriority w:val="99"/>
    <w:qFormat/>
    <w:rsid w:val="0053093A"/>
    <w:pPr>
      <w:ind w:left="720"/>
      <w:contextualSpacing/>
    </w:pPr>
  </w:style>
  <w:style w:type="paragraph" w:styleId="Header">
    <w:name w:val="header"/>
    <w:basedOn w:val="Normal"/>
    <w:link w:val="HeaderChar"/>
    <w:uiPriority w:val="99"/>
    <w:unhideWhenUsed/>
    <w:rsid w:val="003F17B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F17BC"/>
    <w:rPr>
      <w:rFonts w:eastAsiaTheme="minorEastAsia"/>
      <w:sz w:val="20"/>
      <w:szCs w:val="20"/>
      <w:lang w:val="en-AU"/>
    </w:rPr>
  </w:style>
  <w:style w:type="paragraph" w:styleId="Footer">
    <w:name w:val="footer"/>
    <w:basedOn w:val="Normal"/>
    <w:link w:val="FooterChar"/>
    <w:uiPriority w:val="99"/>
    <w:unhideWhenUsed/>
    <w:rsid w:val="003F17B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F17BC"/>
    <w:rPr>
      <w:rFonts w:eastAsiaTheme="minorEastAsia"/>
      <w:sz w:val="20"/>
      <w:szCs w:val="20"/>
      <w:lang w:val="en-AU"/>
    </w:rPr>
  </w:style>
  <w:style w:type="table" w:styleId="TableGrid">
    <w:name w:val="Table Grid"/>
    <w:basedOn w:val="TableNormal"/>
    <w:uiPriority w:val="39"/>
    <w:rsid w:val="003F17BC"/>
    <w:rPr>
      <w:rFonts w:eastAsiaTheme="minorEastAsia"/>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F17BC"/>
    <w:pPr>
      <w:pBdr>
        <w:bottom w:val="single" w:sz="8" w:space="4" w:color="4472C4" w:themeColor="accent1"/>
      </w:pBdr>
      <w:spacing w:before="0" w:after="300" w:line="240" w:lineRule="auto"/>
      <w:contextualSpacing/>
    </w:pPr>
    <w:rPr>
      <w:rFonts w:asciiTheme="majorHAnsi" w:eastAsiaTheme="majorEastAsia" w:hAnsiTheme="majorHAnsi" w:cstheme="majorBidi"/>
      <w:color w:val="323E4F" w:themeColor="text2" w:themeShade="BF"/>
      <w:spacing w:val="5"/>
      <w:kern w:val="28"/>
      <w:sz w:val="52"/>
      <w:szCs w:val="52"/>
      <w:lang w:eastAsia="en-AU"/>
    </w:rPr>
  </w:style>
  <w:style w:type="character" w:customStyle="1" w:styleId="TitleChar">
    <w:name w:val="Title Char"/>
    <w:basedOn w:val="DefaultParagraphFont"/>
    <w:link w:val="Title"/>
    <w:uiPriority w:val="10"/>
    <w:rsid w:val="003F17BC"/>
    <w:rPr>
      <w:rFonts w:asciiTheme="majorHAnsi" w:eastAsiaTheme="majorEastAsia" w:hAnsiTheme="majorHAnsi" w:cstheme="majorBidi"/>
      <w:color w:val="323E4F" w:themeColor="text2" w:themeShade="BF"/>
      <w:spacing w:val="5"/>
      <w:kern w:val="28"/>
      <w:sz w:val="52"/>
      <w:szCs w:val="52"/>
      <w:lang w:val="en-AU" w:eastAsia="en-AU"/>
    </w:rPr>
  </w:style>
  <w:style w:type="paragraph" w:styleId="NormalWeb">
    <w:name w:val="Normal (Web)"/>
    <w:basedOn w:val="Normal"/>
    <w:uiPriority w:val="99"/>
    <w:semiHidden/>
    <w:unhideWhenUsed/>
    <w:rsid w:val="00F72A0E"/>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styleId="Strong">
    <w:name w:val="Strong"/>
    <w:basedOn w:val="DefaultParagraphFont"/>
    <w:uiPriority w:val="22"/>
    <w:qFormat/>
    <w:rsid w:val="00F72A0E"/>
    <w:rPr>
      <w:b/>
      <w:bCs/>
    </w:rPr>
  </w:style>
  <w:style w:type="character" w:customStyle="1" w:styleId="Heading3Char">
    <w:name w:val="Heading 3 Char"/>
    <w:basedOn w:val="DefaultParagraphFont"/>
    <w:link w:val="Heading3"/>
    <w:uiPriority w:val="9"/>
    <w:semiHidden/>
    <w:rsid w:val="00D42B55"/>
    <w:rPr>
      <w:rFonts w:asciiTheme="majorHAnsi" w:eastAsiaTheme="majorEastAsia" w:hAnsiTheme="majorHAnsi" w:cstheme="majorBidi"/>
      <w:color w:val="1F3763" w:themeColor="accent1" w:themeShade="7F"/>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499369">
      <w:bodyDiv w:val="1"/>
      <w:marLeft w:val="0"/>
      <w:marRight w:val="0"/>
      <w:marTop w:val="0"/>
      <w:marBottom w:val="0"/>
      <w:divBdr>
        <w:top w:val="none" w:sz="0" w:space="0" w:color="auto"/>
        <w:left w:val="none" w:sz="0" w:space="0" w:color="auto"/>
        <w:bottom w:val="none" w:sz="0" w:space="0" w:color="auto"/>
        <w:right w:val="none" w:sz="0" w:space="0" w:color="auto"/>
      </w:divBdr>
    </w:div>
    <w:div w:id="1855150641">
      <w:bodyDiv w:val="1"/>
      <w:marLeft w:val="0"/>
      <w:marRight w:val="0"/>
      <w:marTop w:val="0"/>
      <w:marBottom w:val="0"/>
      <w:divBdr>
        <w:top w:val="none" w:sz="0" w:space="0" w:color="auto"/>
        <w:left w:val="none" w:sz="0" w:space="0" w:color="auto"/>
        <w:bottom w:val="none" w:sz="0" w:space="0" w:color="auto"/>
        <w:right w:val="none" w:sz="0" w:space="0" w:color="auto"/>
      </w:divBdr>
    </w:div>
    <w:div w:id="1894848239">
      <w:bodyDiv w:val="1"/>
      <w:marLeft w:val="0"/>
      <w:marRight w:val="0"/>
      <w:marTop w:val="0"/>
      <w:marBottom w:val="0"/>
      <w:divBdr>
        <w:top w:val="none" w:sz="0" w:space="0" w:color="auto"/>
        <w:left w:val="none" w:sz="0" w:space="0" w:color="auto"/>
        <w:bottom w:val="none" w:sz="0" w:space="0" w:color="auto"/>
        <w:right w:val="none" w:sz="0" w:space="0" w:color="auto"/>
      </w:divBdr>
    </w:div>
    <w:div w:id="1989704391">
      <w:bodyDiv w:val="1"/>
      <w:marLeft w:val="0"/>
      <w:marRight w:val="0"/>
      <w:marTop w:val="0"/>
      <w:marBottom w:val="0"/>
      <w:divBdr>
        <w:top w:val="none" w:sz="0" w:space="0" w:color="auto"/>
        <w:left w:val="none" w:sz="0" w:space="0" w:color="auto"/>
        <w:bottom w:val="none" w:sz="0" w:space="0" w:color="auto"/>
        <w:right w:val="none" w:sz="0" w:space="0" w:color="auto"/>
      </w:divBdr>
      <w:divsChild>
        <w:div w:id="1747679100">
          <w:marLeft w:val="0"/>
          <w:marRight w:val="0"/>
          <w:marTop w:val="0"/>
          <w:marBottom w:val="0"/>
          <w:divBdr>
            <w:top w:val="none" w:sz="0" w:space="0" w:color="auto"/>
            <w:left w:val="none" w:sz="0" w:space="0" w:color="auto"/>
            <w:bottom w:val="none" w:sz="0" w:space="0" w:color="auto"/>
            <w:right w:val="none" w:sz="0" w:space="0" w:color="auto"/>
          </w:divBdr>
          <w:divsChild>
            <w:div w:id="114718597">
              <w:marLeft w:val="0"/>
              <w:marRight w:val="0"/>
              <w:marTop w:val="0"/>
              <w:marBottom w:val="0"/>
              <w:divBdr>
                <w:top w:val="none" w:sz="0" w:space="0" w:color="auto"/>
                <w:left w:val="none" w:sz="0" w:space="0" w:color="auto"/>
                <w:bottom w:val="none" w:sz="0" w:space="0" w:color="auto"/>
                <w:right w:val="none" w:sz="0" w:space="0" w:color="auto"/>
              </w:divBdr>
              <w:divsChild>
                <w:div w:id="672227734">
                  <w:marLeft w:val="0"/>
                  <w:marRight w:val="0"/>
                  <w:marTop w:val="0"/>
                  <w:marBottom w:val="0"/>
                  <w:divBdr>
                    <w:top w:val="none" w:sz="0" w:space="0" w:color="auto"/>
                    <w:left w:val="none" w:sz="0" w:space="0" w:color="auto"/>
                    <w:bottom w:val="none" w:sz="0" w:space="0" w:color="auto"/>
                    <w:right w:val="none" w:sz="0" w:space="0" w:color="auto"/>
                  </w:divBdr>
                </w:div>
                <w:div w:id="1595747310">
                  <w:marLeft w:val="0"/>
                  <w:marRight w:val="0"/>
                  <w:marTop w:val="0"/>
                  <w:marBottom w:val="0"/>
                  <w:divBdr>
                    <w:top w:val="none" w:sz="0" w:space="0" w:color="auto"/>
                    <w:left w:val="none" w:sz="0" w:space="0" w:color="auto"/>
                    <w:bottom w:val="none" w:sz="0" w:space="0" w:color="auto"/>
                    <w:right w:val="none" w:sz="0" w:space="0" w:color="auto"/>
                  </w:divBdr>
                </w:div>
                <w:div w:id="1660497992">
                  <w:marLeft w:val="0"/>
                  <w:marRight w:val="0"/>
                  <w:marTop w:val="0"/>
                  <w:marBottom w:val="0"/>
                  <w:divBdr>
                    <w:top w:val="none" w:sz="0" w:space="0" w:color="auto"/>
                    <w:left w:val="none" w:sz="0" w:space="0" w:color="auto"/>
                    <w:bottom w:val="none" w:sz="0" w:space="0" w:color="auto"/>
                    <w:right w:val="none" w:sz="0" w:space="0" w:color="auto"/>
                  </w:divBdr>
                </w:div>
                <w:div w:id="10952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1328</Words>
  <Characters>7576</Characters>
  <Application>Microsoft Macintosh Word</Application>
  <DocSecurity>0</DocSecurity>
  <Lines>63</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James Cook University</vt:lpstr>
      <vt:lpstr/>
      <vt:lpstr>The University of Melbourne</vt:lpstr>
      <vt:lpstr>Macquarie University </vt:lpstr>
      <vt:lpstr>Swinburne University </vt:lpstr>
      <vt:lpstr>The Grand Challenges</vt:lpstr>
    </vt:vector>
  </TitlesOfParts>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Gannaway</dc:creator>
  <cp:keywords/>
  <dc:description/>
  <cp:lastModifiedBy>Deanne Gannaway</cp:lastModifiedBy>
  <cp:revision>2</cp:revision>
  <cp:lastPrinted>2017-04-20T02:23:00Z</cp:lastPrinted>
  <dcterms:created xsi:type="dcterms:W3CDTF">2017-04-19T03:57:00Z</dcterms:created>
  <dcterms:modified xsi:type="dcterms:W3CDTF">2017-04-20T02:23:00Z</dcterms:modified>
</cp:coreProperties>
</file>